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715EBF">
        <w:rPr>
          <w:rFonts w:ascii="Cambria" w:hAnsi="Cambria" w:cs="MyriadPro-Black"/>
          <w:caps/>
          <w:sz w:val="60"/>
          <w:szCs w:val="60"/>
        </w:rPr>
        <w:t>ITI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DA53B7">
        <w:rPr>
          <w:rFonts w:cs="MyriadPro-Black"/>
          <w:caps/>
          <w:color w:val="A6A6A6"/>
          <w:sz w:val="40"/>
          <w:szCs w:val="40"/>
        </w:rPr>
        <w:t>2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63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64D63">
        <w:rPr>
          <w:rFonts w:cs="MyriadPro-Black"/>
          <w:caps/>
          <w:color w:val="A6A6A6"/>
          <w:sz w:val="32"/>
          <w:szCs w:val="40"/>
        </w:rPr>
        <w:t xml:space="preserve">11. 12. 2020 </w:t>
      </w:r>
      <w:r w:rsidR="00FF4CE5">
        <w:br w:type="page"/>
      </w:r>
    </w:p>
    <w:p w:rsidR="00BD4111" w:rsidRPr="00A44426" w:rsidRDefault="00BD4111" w:rsidP="00BD4111">
      <w:pPr>
        <w:pStyle w:val="Odstavecseseznamem"/>
        <w:numPr>
          <w:ilvl w:val="0"/>
          <w:numId w:val="39"/>
        </w:numPr>
        <w:spacing w:before="240" w:after="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 xml:space="preserve">Dokladování způsobilých výdajů v případě žádostí o podporu podaných do výzev integrovaných nástrojů ITI vyhlášených před revizí </w:t>
      </w:r>
      <w:r>
        <w:rPr>
          <w:b/>
        </w:rPr>
        <w:t xml:space="preserve">1.3 </w:t>
      </w:r>
      <w:r w:rsidRPr="00A44426">
        <w:rPr>
          <w:b/>
        </w:rPr>
        <w:t>těchto Specifických pravidel</w:t>
      </w:r>
      <w:r>
        <w:rPr>
          <w:b/>
        </w:rPr>
        <w:t xml:space="preserve"> vydaných </w:t>
      </w:r>
      <w:r w:rsidR="00A64D63">
        <w:rPr>
          <w:b/>
        </w:rPr>
        <w:t>11. 12. 2020</w:t>
      </w:r>
      <w:r w:rsidRPr="00A44426">
        <w:rPr>
          <w:b/>
        </w:rPr>
        <w:t>:</w:t>
      </w:r>
    </w:p>
    <w:p w:rsidR="00BD4111" w:rsidRPr="00C53E97" w:rsidRDefault="00BD4111" w:rsidP="00BD4111">
      <w:pPr>
        <w:rPr>
          <w:b/>
          <w:sz w:val="16"/>
          <w:szCs w:val="1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BD4111" w:rsidRPr="00A5788E" w:rsidTr="00ED4B60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111" w:rsidRPr="00A5788E" w:rsidRDefault="00BD4111" w:rsidP="00ED4B60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4111" w:rsidRPr="00A5788E" w:rsidRDefault="00BD4111" w:rsidP="00ED4B60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BD4111" w:rsidRDefault="00BD4111" w:rsidP="00ED4B60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C53E97" w:rsidRPr="00A5788E" w:rsidRDefault="00C53E97" w:rsidP="00ED4B60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</w:p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>
              <w:rPr>
                <w:sz w:val="22"/>
                <w:szCs w:val="22"/>
              </w:rPr>
              <w:t>kolaudační souhlas;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BD4111" w:rsidRPr="00663B65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112D03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BD4111" w:rsidRPr="00112D03" w:rsidRDefault="00BD4111" w:rsidP="00ED4B6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BD4111" w:rsidRPr="00112D03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112D03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BD4111" w:rsidRPr="00112D03" w:rsidRDefault="00BD4111" w:rsidP="00ED4B6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D4111" w:rsidRPr="00112D03" w:rsidRDefault="00BD4111" w:rsidP="00ED4B6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BD4111" w:rsidRPr="00A5788E" w:rsidRDefault="00BD4111" w:rsidP="00ED4B60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BD4111" w:rsidRPr="00A5788E" w:rsidTr="00ED4B60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BD4111" w:rsidRPr="00A5788E" w:rsidRDefault="00BD4111" w:rsidP="00ED4B60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lastRenderedPageBreak/>
              <w:t xml:space="preserve">projektové dokumentace stavby </w:t>
            </w:r>
          </w:p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pokud nelze posoudit způsobilost výdaje podle </w:t>
            </w:r>
            <w:r w:rsidRPr="00A5788E">
              <w:rPr>
                <w:sz w:val="22"/>
                <w:szCs w:val="22"/>
              </w:rPr>
              <w:lastRenderedPageBreak/>
              <w:t>identifikace předmětu plnění, doložit objednávku, dodací list, předávací protokol;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:rsidR="00BD4111" w:rsidRPr="00A5788E" w:rsidRDefault="00BD4111" w:rsidP="00ED4B60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BD4111" w:rsidRPr="00F75CD5" w:rsidRDefault="00BD4111" w:rsidP="00ED4B60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BD4111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řízení bylo v souladu s příslušnými předpisy;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1"/>
              </w:numPr>
              <w:suppressAutoHyphens/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 xml:space="preserve">, případně </w:t>
            </w:r>
            <w:r>
              <w:rPr>
                <w:sz w:val="22"/>
                <w:szCs w:val="22"/>
              </w:rPr>
              <w:lastRenderedPageBreak/>
              <w:t>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BD4111" w:rsidRPr="00663B65" w:rsidRDefault="00BD4111" w:rsidP="00ED4B60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BD4111" w:rsidRPr="00A5788E" w:rsidTr="00ED4B60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D4111" w:rsidRPr="00A5788E" w:rsidRDefault="00BD4111" w:rsidP="00ED4B60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BD4111" w:rsidRPr="00A5788E" w:rsidRDefault="00BD4111" w:rsidP="00ED4B60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Default="00BD4111" w:rsidP="00BD4111">
      <w:pPr>
        <w:spacing w:line="276" w:lineRule="auto"/>
      </w:pPr>
    </w:p>
    <w:p w:rsidR="00BD4111" w:rsidRPr="00A44426" w:rsidRDefault="00BD4111" w:rsidP="00BD4111">
      <w:pPr>
        <w:pStyle w:val="Odstavecseseznamem"/>
        <w:numPr>
          <w:ilvl w:val="0"/>
          <w:numId w:val="39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 xml:space="preserve">Dokladování způsobilých výdajů v případě žádostí o podporu podaných do výzev integrovaných nástrojů ITI vyhlášených po revizi </w:t>
      </w:r>
      <w:r>
        <w:rPr>
          <w:b/>
        </w:rPr>
        <w:t xml:space="preserve">1.3 </w:t>
      </w:r>
      <w:r w:rsidRPr="00A44426">
        <w:rPr>
          <w:b/>
        </w:rPr>
        <w:t>těchto Specifických pravidel</w:t>
      </w:r>
      <w:r>
        <w:rPr>
          <w:b/>
        </w:rPr>
        <w:t xml:space="preserve"> vydaných </w:t>
      </w:r>
      <w:r w:rsidR="00A64D63">
        <w:rPr>
          <w:b/>
        </w:rPr>
        <w:t>11. 12. 2020:</w:t>
      </w:r>
    </w:p>
    <w:p w:rsidR="00FF4CE5" w:rsidRDefault="00FF4CE5" w:rsidP="00FF4CE5">
      <w:pPr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:rsidTr="00BD4111">
        <w:trPr>
          <w:trHeight w:val="2158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2F35C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E942D1" w:rsidRPr="00A5788E" w:rsidRDefault="00E942D1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7148C5"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 w:rsidR="00812163">
              <w:rPr>
                <w:sz w:val="22"/>
                <w:szCs w:val="22"/>
              </w:rPr>
              <w:t>kolaudační souhlas;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7148C5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7148C5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7148C5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5E20BB"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2F35CE" w:rsidRDefault="002F35CE" w:rsidP="00E942D1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7148C5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7148C5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7148C5">
              <w:rPr>
                <w:sz w:val="22"/>
                <w:szCs w:val="22"/>
              </w:rPr>
              <w:t xml:space="preserve"> před vydáním kolaudačního souhlasu</w:t>
            </w:r>
            <w:r w:rsidR="001F3A07">
              <w:rPr>
                <w:sz w:val="22"/>
                <w:szCs w:val="22"/>
              </w:rPr>
              <w:t xml:space="preserve"> nebo rozhodnutí</w:t>
            </w:r>
            <w:r w:rsidR="00E942D1">
              <w:rPr>
                <w:sz w:val="22"/>
                <w:szCs w:val="22"/>
              </w:rPr>
              <w:t>,</w:t>
            </w:r>
          </w:p>
          <w:p w:rsidR="00E942D1" w:rsidRPr="00663B65" w:rsidRDefault="00E942D1" w:rsidP="00E942D1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pozemk</w:t>
            </w:r>
            <w:r w:rsidR="00E942D1">
              <w:rPr>
                <w:rFonts w:asciiTheme="majorHAnsi" w:hAnsiTheme="majorHAnsi"/>
                <w:b/>
                <w:sz w:val="22"/>
                <w:szCs w:val="22"/>
              </w:rPr>
              <w:t>u, stavby nebo práva stavby vykazovaný společně</w:t>
            </w: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:rsidR="000B3AF0" w:rsidRPr="00112D03" w:rsidRDefault="00E942D1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>
              <w:rPr>
                <w:rFonts w:cstheme="minorBidi"/>
                <w:b/>
                <w:sz w:val="22"/>
                <w:szCs w:val="22"/>
              </w:rPr>
              <w:t>maximálně</w:t>
            </w:r>
            <w:r w:rsidRPr="00112D03">
              <w:rPr>
                <w:rFonts w:cstheme="minorBidi"/>
                <w:b/>
                <w:sz w:val="22"/>
                <w:szCs w:val="22"/>
              </w:rPr>
              <w:t xml:space="preserve"> </w:t>
            </w:r>
            <w:r w:rsidR="000B3AF0" w:rsidRPr="00112D03">
              <w:rPr>
                <w:rFonts w:cstheme="minorBidi"/>
                <w:b/>
                <w:sz w:val="22"/>
                <w:szCs w:val="22"/>
              </w:rPr>
              <w:t xml:space="preserve">10 % celkových způsobilých výdajů projektu;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2F35CE" w:rsidRPr="00112D03" w:rsidRDefault="002F35CE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0B3AF0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E942D1" w:rsidRPr="00112D03" w:rsidRDefault="00E942D1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42D1" w:rsidRPr="003C1CEB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 xml:space="preserve">stavby nebo práva stavby vykazovaný odděleně </w:t>
            </w:r>
          </w:p>
          <w:p w:rsidR="00E942D1" w:rsidRPr="003C1CEB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>maximálně 10 % celkových způsobilých výdajů projektu;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3C1CEB">
              <w:rPr>
                <w:b/>
                <w:sz w:val="22"/>
                <w:szCs w:val="22"/>
              </w:rPr>
              <w:t>pořizovací cena max</w:t>
            </w:r>
            <w:r>
              <w:rPr>
                <w:b/>
                <w:sz w:val="22"/>
                <w:szCs w:val="22"/>
              </w:rPr>
              <w:t>imálně</w:t>
            </w:r>
            <w:r w:rsidRPr="003C1CEB">
              <w:rPr>
                <w:b/>
                <w:sz w:val="22"/>
                <w:szCs w:val="22"/>
              </w:rPr>
              <w:t xml:space="preserve"> do výše ceny </w:t>
            </w:r>
            <w:r w:rsidRPr="003C1CEB">
              <w:rPr>
                <w:b/>
                <w:sz w:val="22"/>
                <w:szCs w:val="22"/>
              </w:rPr>
              <w:lastRenderedPageBreak/>
              <w:t>zjištěné znaleckým posudkem.</w:t>
            </w:r>
          </w:p>
          <w:p w:rsidR="00E942D1" w:rsidRPr="003C1CEB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3C1CEB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:rsidR="00E942D1" w:rsidRPr="00E942D1" w:rsidRDefault="00E942D1" w:rsidP="00E942D1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pořizovací cena maximálně</w:t>
            </w:r>
            <w:r w:rsidRPr="003C1CEB">
              <w:rPr>
                <w:b/>
                <w:sz w:val="22"/>
                <w:szCs w:val="22"/>
              </w:rPr>
              <w:t xml:space="preserve"> do výše ceny zjištěné znaleckým posudkem.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2D1" w:rsidRDefault="00E942D1" w:rsidP="00E942D1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E942D1" w:rsidRDefault="00E942D1" w:rsidP="00E942D1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E942D1" w:rsidRDefault="00E942D1" w:rsidP="00E942D1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E942D1" w:rsidRDefault="00E942D1" w:rsidP="00E942D1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:rsidR="00E942D1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kupní smlouva;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pozemku/stavbě; 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lastRenderedPageBreak/>
              <w:t>znalecký posudek ne starší šesti měsíců před datem pořízení pozemku;</w:t>
            </w:r>
          </w:p>
          <w:p w:rsidR="00E942D1" w:rsidRPr="00A64D63" w:rsidRDefault="00E942D1" w:rsidP="00A64D63">
            <w:pPr>
              <w:spacing w:line="276" w:lineRule="auto"/>
              <w:rPr>
                <w:sz w:val="22"/>
                <w:szCs w:val="22"/>
              </w:rPr>
            </w:pP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doklad o zaplacení;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 xml:space="preserve">kupní smlouva; 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smlouva o právu stavby;</w:t>
            </w:r>
          </w:p>
          <w:p w:rsidR="00E942D1" w:rsidRPr="003C1CEB" w:rsidRDefault="00E942D1" w:rsidP="00E942D1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:rsidR="00E942D1" w:rsidRPr="00E97DA3" w:rsidRDefault="00E942D1" w:rsidP="00E97DA3">
            <w:pPr>
              <w:pStyle w:val="Odstavecseseznamem"/>
              <w:numPr>
                <w:ilvl w:val="0"/>
                <w:numId w:val="27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3C1CEB">
              <w:rPr>
                <w:sz w:val="22"/>
                <w:szCs w:val="22"/>
              </w:rPr>
              <w:t>znalecký posudek ne starší šesti měsíců před datem pořízení nemovitosti.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E942D1" w:rsidRPr="00A5788E" w:rsidRDefault="00E942D1" w:rsidP="00E942D1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E942D1" w:rsidRPr="00A5788E" w:rsidTr="00855484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E942D1" w:rsidRPr="00A5788E" w:rsidRDefault="00E942D1" w:rsidP="00E942D1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drobného hmotného a nehmotného majetku </w:t>
            </w:r>
          </w:p>
          <w:p w:rsidR="00E942D1" w:rsidRPr="00A5788E" w:rsidRDefault="00E942D1" w:rsidP="00E942D1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E942D1" w:rsidRPr="00F75CD5" w:rsidRDefault="00E942D1" w:rsidP="00E942D1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služeb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E942D1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 řízení bylo v souladu s příslušnými předpisy;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1"/>
              </w:numPr>
              <w:suppressAutoHyphens/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E942D1" w:rsidRPr="00663B65" w:rsidRDefault="00E942D1" w:rsidP="00E942D1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DPH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r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přenesené daňové povinnosti kopie evidence pro daňové účely a kopie výpisu z bankovního účtu jako doklad o úhradě daňové </w:t>
            </w:r>
            <w:r w:rsidRPr="00A5788E">
              <w:rPr>
                <w:sz w:val="22"/>
                <w:szCs w:val="22"/>
              </w:rPr>
              <w:lastRenderedPageBreak/>
              <w:t>povinnosti OFS.</w:t>
            </w:r>
          </w:p>
        </w:tc>
      </w:tr>
      <w:tr w:rsidR="00E942D1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942D1" w:rsidRPr="00A5788E" w:rsidRDefault="00E942D1" w:rsidP="00E942D1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E942D1" w:rsidRPr="00A5788E" w:rsidRDefault="00E942D1" w:rsidP="00E942D1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 w:rsidP="00054512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0A6" w:rsidRDefault="00FF10A6" w:rsidP="00FF4CE5">
      <w:pPr>
        <w:spacing w:after="0"/>
      </w:pPr>
      <w:r>
        <w:separator/>
      </w:r>
    </w:p>
  </w:endnote>
  <w:endnote w:type="continuationSeparator" w:id="0">
    <w:p w:rsidR="00FF10A6" w:rsidRDefault="00FF10A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64D63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64D63">
                <w:rPr>
                  <w:rStyle w:val="slostrnky"/>
                  <w:rFonts w:ascii="Arial" w:hAnsi="Arial" w:cs="Arial"/>
                  <w:noProof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FF10A6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0A6" w:rsidRDefault="00FF10A6" w:rsidP="00FF4CE5">
      <w:pPr>
        <w:spacing w:after="0"/>
      </w:pPr>
      <w:r>
        <w:separator/>
      </w:r>
    </w:p>
  </w:footnote>
  <w:footnote w:type="continuationSeparator" w:id="0">
    <w:p w:rsidR="00FF10A6" w:rsidRDefault="00FF10A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5CC3BE6D" wp14:editId="5C6D42C6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3FB77169" wp14:editId="7B86984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6"/>
  </w:num>
  <w:num w:numId="4">
    <w:abstractNumId w:val="4"/>
  </w:num>
  <w:num w:numId="5">
    <w:abstractNumId w:val="5"/>
  </w:num>
  <w:num w:numId="6">
    <w:abstractNumId w:val="28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</w:num>
  <w:num w:numId="10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4"/>
  </w:num>
  <w:num w:numId="13">
    <w:abstractNumId w:val="5"/>
  </w:num>
  <w:num w:numId="14">
    <w:abstractNumId w:val="28"/>
  </w:num>
  <w:num w:numId="15">
    <w:abstractNumId w:val="1"/>
  </w:num>
  <w:num w:numId="16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20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7"/>
  </w:num>
  <w:num w:numId="23">
    <w:abstractNumId w:val="15"/>
  </w:num>
  <w:num w:numId="24">
    <w:abstractNumId w:val="18"/>
  </w:num>
  <w:num w:numId="25">
    <w:abstractNumId w:val="22"/>
  </w:num>
  <w:num w:numId="26">
    <w:abstractNumId w:val="17"/>
  </w:num>
  <w:num w:numId="27">
    <w:abstractNumId w:val="27"/>
  </w:num>
  <w:num w:numId="28">
    <w:abstractNumId w:val="13"/>
  </w:num>
  <w:num w:numId="29">
    <w:abstractNumId w:val="12"/>
  </w:num>
  <w:num w:numId="30">
    <w:abstractNumId w:val="25"/>
  </w:num>
  <w:num w:numId="31">
    <w:abstractNumId w:val="10"/>
  </w:num>
  <w:num w:numId="32">
    <w:abstractNumId w:val="21"/>
  </w:num>
  <w:num w:numId="33">
    <w:abstractNumId w:val="2"/>
  </w:num>
  <w:num w:numId="34">
    <w:abstractNumId w:val="0"/>
  </w:num>
  <w:num w:numId="35">
    <w:abstractNumId w:val="24"/>
  </w:num>
  <w:num w:numId="36">
    <w:abstractNumId w:val="6"/>
  </w:num>
  <w:num w:numId="37">
    <w:abstractNumId w:val="14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112D03"/>
    <w:rsid w:val="00195E2C"/>
    <w:rsid w:val="001C43E4"/>
    <w:rsid w:val="001F3A07"/>
    <w:rsid w:val="002F35CE"/>
    <w:rsid w:val="002F4F25"/>
    <w:rsid w:val="002F7B44"/>
    <w:rsid w:val="003B1DC1"/>
    <w:rsid w:val="0043694D"/>
    <w:rsid w:val="004E1AB9"/>
    <w:rsid w:val="00573DBC"/>
    <w:rsid w:val="005B0AC0"/>
    <w:rsid w:val="005E20BB"/>
    <w:rsid w:val="00663B65"/>
    <w:rsid w:val="006A6582"/>
    <w:rsid w:val="006E2346"/>
    <w:rsid w:val="006E2A5B"/>
    <w:rsid w:val="007148C5"/>
    <w:rsid w:val="00715EBF"/>
    <w:rsid w:val="007601FC"/>
    <w:rsid w:val="007D6E35"/>
    <w:rsid w:val="007F00C9"/>
    <w:rsid w:val="00812163"/>
    <w:rsid w:val="00834183"/>
    <w:rsid w:val="008427CF"/>
    <w:rsid w:val="00870FA3"/>
    <w:rsid w:val="008931D8"/>
    <w:rsid w:val="008A04C9"/>
    <w:rsid w:val="009C6AE7"/>
    <w:rsid w:val="00A64D63"/>
    <w:rsid w:val="00A7758A"/>
    <w:rsid w:val="00B75437"/>
    <w:rsid w:val="00B8401C"/>
    <w:rsid w:val="00BC5E20"/>
    <w:rsid w:val="00BD4111"/>
    <w:rsid w:val="00C3096C"/>
    <w:rsid w:val="00C53E97"/>
    <w:rsid w:val="00C555AB"/>
    <w:rsid w:val="00C8405A"/>
    <w:rsid w:val="00C94438"/>
    <w:rsid w:val="00C96EAE"/>
    <w:rsid w:val="00CE58EB"/>
    <w:rsid w:val="00DA53B7"/>
    <w:rsid w:val="00E10D6C"/>
    <w:rsid w:val="00E920DF"/>
    <w:rsid w:val="00E942D1"/>
    <w:rsid w:val="00E97DA3"/>
    <w:rsid w:val="00EC4DFF"/>
    <w:rsid w:val="00F63071"/>
    <w:rsid w:val="00F75CD5"/>
    <w:rsid w:val="00F84874"/>
    <w:rsid w:val="00FF10A6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75336"/>
  <w15:docId w15:val="{C7E463D1-2DAD-4810-B18B-16959BBA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61A-2DD6-48F4-9801-ED9D79B7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1625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29</cp:revision>
  <dcterms:created xsi:type="dcterms:W3CDTF">2016-11-01T00:43:00Z</dcterms:created>
  <dcterms:modified xsi:type="dcterms:W3CDTF">2020-12-11T12:57:00Z</dcterms:modified>
</cp:coreProperties>
</file>